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48AC" w14:textId="35D87276" w:rsidR="008A7A03" w:rsidRPr="00400515" w:rsidRDefault="00400515" w:rsidP="00400515">
      <w:pPr>
        <w:jc w:val="right"/>
        <w:rPr>
          <w:rFonts w:ascii="Arial" w:hAnsi="Arial" w:cs="Arial"/>
        </w:rPr>
      </w:pPr>
      <w:r w:rsidRPr="00400515">
        <w:rPr>
          <w:rFonts w:ascii="Arial" w:hAnsi="Arial" w:cs="Arial"/>
        </w:rPr>
        <w:t xml:space="preserve">Attachment </w:t>
      </w:r>
      <w:r w:rsidR="00C90029">
        <w:rPr>
          <w:rFonts w:ascii="Arial" w:hAnsi="Arial" w:cs="Arial"/>
        </w:rPr>
        <w:t>6.21</w:t>
      </w:r>
    </w:p>
    <w:p w14:paraId="05A7A85F" w14:textId="0BF2EEED" w:rsidR="00400515" w:rsidRPr="00400515" w:rsidRDefault="00400515" w:rsidP="00400515">
      <w:pPr>
        <w:jc w:val="right"/>
        <w:rPr>
          <w:rFonts w:ascii="Arial" w:hAnsi="Arial" w:cs="Arial"/>
          <w:b/>
          <w:bCs/>
        </w:rPr>
      </w:pPr>
    </w:p>
    <w:p w14:paraId="28CB7DC4" w14:textId="7CF06790" w:rsidR="00400515" w:rsidRPr="00400515" w:rsidRDefault="0053113C" w:rsidP="00400515">
      <w:pPr>
        <w:pStyle w:val="BodyText"/>
        <w:widowControl w:val="0"/>
        <w:tabs>
          <w:tab w:val="left" w:pos="841"/>
        </w:tabs>
        <w:spacing w:after="0"/>
        <w:ind w:left="0"/>
        <w:jc w:val="center"/>
        <w:rPr>
          <w:rFonts w:cs="Arial"/>
          <w:sz w:val="20"/>
          <w:szCs w:val="20"/>
          <w:lang w:val="en-US"/>
        </w:rPr>
      </w:pPr>
      <w:r>
        <w:rPr>
          <w:rFonts w:cs="Arial"/>
          <w:b/>
          <w:bCs/>
          <w:sz w:val="20"/>
          <w:szCs w:val="20"/>
          <w:lang w:val="en-US"/>
        </w:rPr>
        <w:t>Small Wares List</w:t>
      </w:r>
      <w:r w:rsidR="00400515" w:rsidRPr="00400515">
        <w:rPr>
          <w:rFonts w:cs="Arial"/>
          <w:b/>
          <w:bCs/>
          <w:sz w:val="20"/>
          <w:szCs w:val="20"/>
          <w:lang w:val="en-US"/>
        </w:rPr>
        <w:t>:</w:t>
      </w:r>
    </w:p>
    <w:p w14:paraId="21A49F7F" w14:textId="77777777" w:rsidR="00400515" w:rsidRPr="00400515" w:rsidRDefault="00400515" w:rsidP="00400515">
      <w:pPr>
        <w:pStyle w:val="BodyText"/>
        <w:widowControl w:val="0"/>
        <w:tabs>
          <w:tab w:val="left" w:pos="841"/>
        </w:tabs>
        <w:spacing w:after="0"/>
        <w:ind w:left="0"/>
        <w:jc w:val="both"/>
        <w:rPr>
          <w:rFonts w:cs="Arial"/>
          <w:sz w:val="20"/>
          <w:szCs w:val="20"/>
        </w:rPr>
      </w:pPr>
    </w:p>
    <w:p w14:paraId="2F6DE132" w14:textId="18BB9D0B"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sz w:val="20"/>
          <w:szCs w:val="20"/>
        </w:rPr>
      </w:pPr>
      <w:r w:rsidRPr="005F4A9E">
        <w:rPr>
          <w:rFonts w:ascii="Arial" w:eastAsiaTheme="minorHAnsi" w:hAnsi="Arial" w:cs="Arial"/>
          <w:sz w:val="20"/>
          <w:szCs w:val="20"/>
        </w:rPr>
        <w:t>All garbage containers and garbage bags used in food service operations</w:t>
      </w:r>
      <w:r w:rsidR="005F4A9E">
        <w:rPr>
          <w:rFonts w:ascii="Arial" w:eastAsiaTheme="minorHAnsi" w:hAnsi="Arial" w:cs="Arial"/>
          <w:sz w:val="20"/>
          <w:szCs w:val="20"/>
        </w:rPr>
        <w:t>,</w:t>
      </w:r>
    </w:p>
    <w:p w14:paraId="2564F516" w14:textId="70847A5F"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sz w:val="20"/>
          <w:szCs w:val="20"/>
        </w:rPr>
      </w:pPr>
      <w:r w:rsidRPr="005F4A9E">
        <w:rPr>
          <w:rFonts w:ascii="Arial" w:eastAsiaTheme="minorHAnsi" w:hAnsi="Arial" w:cs="Arial"/>
          <w:sz w:val="20"/>
          <w:szCs w:val="20"/>
        </w:rPr>
        <w:t>Hair restraints and all gloves</w:t>
      </w:r>
      <w:r w:rsidR="005F4A9E">
        <w:rPr>
          <w:rFonts w:ascii="Arial" w:eastAsiaTheme="minorHAnsi" w:hAnsi="Arial" w:cs="Arial"/>
          <w:sz w:val="20"/>
          <w:szCs w:val="20"/>
        </w:rPr>
        <w:t>,</w:t>
      </w:r>
    </w:p>
    <w:p w14:paraId="2D1B1021" w14:textId="545A2B15"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sz w:val="20"/>
          <w:szCs w:val="20"/>
        </w:rPr>
      </w:pPr>
      <w:r w:rsidRPr="005F4A9E">
        <w:rPr>
          <w:rFonts w:ascii="Arial" w:eastAsiaTheme="minorHAnsi" w:hAnsi="Arial" w:cs="Arial"/>
          <w:sz w:val="20"/>
          <w:szCs w:val="20"/>
        </w:rPr>
        <w:t>Single service plates, cups and eating utensils</w:t>
      </w:r>
      <w:r w:rsidR="005F4A9E">
        <w:rPr>
          <w:rFonts w:ascii="Arial" w:eastAsiaTheme="minorHAnsi" w:hAnsi="Arial" w:cs="Arial"/>
          <w:sz w:val="20"/>
          <w:szCs w:val="20"/>
        </w:rPr>
        <w:t>,</w:t>
      </w:r>
      <w:r w:rsidRPr="005F4A9E">
        <w:rPr>
          <w:rFonts w:ascii="Arial" w:eastAsiaTheme="minorHAnsi" w:hAnsi="Arial" w:cs="Arial"/>
          <w:sz w:val="20"/>
          <w:szCs w:val="20"/>
        </w:rPr>
        <w:t xml:space="preserve"> except in emergency situations or equipment breakdown</w:t>
      </w:r>
      <w:r w:rsidR="005F4A9E">
        <w:rPr>
          <w:rFonts w:ascii="Arial" w:eastAsiaTheme="minorHAnsi" w:hAnsi="Arial" w:cs="Arial"/>
          <w:sz w:val="20"/>
          <w:szCs w:val="20"/>
        </w:rPr>
        <w:t>,</w:t>
      </w:r>
    </w:p>
    <w:p w14:paraId="0246923E" w14:textId="2233AA62"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sz w:val="20"/>
          <w:szCs w:val="20"/>
        </w:rPr>
      </w:pPr>
      <w:r w:rsidRPr="005F4A9E">
        <w:rPr>
          <w:rFonts w:ascii="Arial" w:eastAsiaTheme="minorHAnsi" w:hAnsi="Arial" w:cs="Arial"/>
          <w:sz w:val="20"/>
          <w:szCs w:val="20"/>
        </w:rPr>
        <w:t>Dish/pot/pan detergent, dish machine detergent, sanitizer, and related products</w:t>
      </w:r>
      <w:r w:rsidR="005F4A9E">
        <w:rPr>
          <w:rFonts w:ascii="Arial" w:eastAsiaTheme="minorHAnsi" w:hAnsi="Arial" w:cs="Arial"/>
          <w:sz w:val="20"/>
          <w:szCs w:val="20"/>
        </w:rPr>
        <w:t>,</w:t>
      </w:r>
    </w:p>
    <w:p w14:paraId="6864F63D" w14:textId="331C3EB4"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sz w:val="20"/>
          <w:szCs w:val="20"/>
        </w:rPr>
      </w:pPr>
      <w:r w:rsidRPr="005F4A9E">
        <w:rPr>
          <w:rFonts w:ascii="Arial" w:eastAsiaTheme="minorHAnsi" w:hAnsi="Arial" w:cs="Arial"/>
          <w:sz w:val="20"/>
          <w:szCs w:val="20"/>
        </w:rPr>
        <w:t>Mops and brooms</w:t>
      </w:r>
      <w:r w:rsidRPr="005F4A9E">
        <w:rPr>
          <w:rFonts w:ascii="Arial" w:eastAsiaTheme="minorHAnsi" w:hAnsi="Arial" w:cs="Arial"/>
          <w:b/>
          <w:bCs/>
          <w:sz w:val="20"/>
          <w:szCs w:val="20"/>
        </w:rPr>
        <w:t>*</w:t>
      </w:r>
      <w:r w:rsidR="005F4A9E">
        <w:rPr>
          <w:rFonts w:ascii="Arial" w:eastAsiaTheme="minorHAnsi" w:hAnsi="Arial" w:cs="Arial"/>
          <w:b/>
          <w:bCs/>
          <w:sz w:val="20"/>
          <w:szCs w:val="20"/>
        </w:rPr>
        <w:t>,</w:t>
      </w:r>
    </w:p>
    <w:p w14:paraId="04477854" w14:textId="5D9E55B5"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sz w:val="20"/>
          <w:szCs w:val="20"/>
        </w:rPr>
      </w:pPr>
      <w:r w:rsidRPr="005F4A9E">
        <w:rPr>
          <w:rFonts w:ascii="Arial" w:eastAsiaTheme="minorHAnsi" w:hAnsi="Arial" w:cs="Arial"/>
          <w:sz w:val="20"/>
          <w:szCs w:val="20"/>
        </w:rPr>
        <w:t>Office supplies</w:t>
      </w:r>
      <w:r w:rsidR="005F4A9E">
        <w:rPr>
          <w:rFonts w:ascii="Arial" w:eastAsiaTheme="minorHAnsi" w:hAnsi="Arial" w:cs="Arial"/>
          <w:sz w:val="20"/>
          <w:szCs w:val="20"/>
        </w:rPr>
        <w:t>,</w:t>
      </w:r>
    </w:p>
    <w:p w14:paraId="44DFE3CA" w14:textId="1E4AE430"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sz w:val="20"/>
          <w:szCs w:val="20"/>
        </w:rPr>
      </w:pPr>
      <w:r w:rsidRPr="005F4A9E">
        <w:rPr>
          <w:rFonts w:ascii="Arial" w:eastAsiaTheme="minorHAnsi" w:hAnsi="Arial" w:cs="Arial"/>
          <w:sz w:val="20"/>
          <w:szCs w:val="20"/>
        </w:rPr>
        <w:t>Lunch bags</w:t>
      </w:r>
      <w:r w:rsidR="005F4A9E">
        <w:rPr>
          <w:rFonts w:ascii="Arial" w:eastAsiaTheme="minorHAnsi" w:hAnsi="Arial" w:cs="Arial"/>
          <w:sz w:val="20"/>
          <w:szCs w:val="20"/>
        </w:rPr>
        <w:t>,</w:t>
      </w:r>
    </w:p>
    <w:p w14:paraId="5C329BD7" w14:textId="3A20BA56"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sz w:val="20"/>
          <w:szCs w:val="20"/>
        </w:rPr>
      </w:pPr>
      <w:r w:rsidRPr="005F4A9E">
        <w:rPr>
          <w:rFonts w:ascii="Arial" w:eastAsiaTheme="minorHAnsi" w:hAnsi="Arial" w:cs="Arial"/>
          <w:sz w:val="20"/>
          <w:szCs w:val="20"/>
        </w:rPr>
        <w:t>Sandwich bags</w:t>
      </w:r>
      <w:r w:rsidR="005F4A9E">
        <w:rPr>
          <w:rFonts w:ascii="Arial" w:eastAsiaTheme="minorHAnsi" w:hAnsi="Arial" w:cs="Arial"/>
          <w:sz w:val="20"/>
          <w:szCs w:val="20"/>
        </w:rPr>
        <w:t>,</w:t>
      </w:r>
    </w:p>
    <w:p w14:paraId="1C9170AF" w14:textId="1499583A"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sz w:val="20"/>
          <w:szCs w:val="20"/>
        </w:rPr>
      </w:pPr>
      <w:r w:rsidRPr="005F4A9E">
        <w:rPr>
          <w:rFonts w:ascii="Arial" w:eastAsiaTheme="minorHAnsi" w:hAnsi="Arial" w:cs="Arial"/>
          <w:sz w:val="20"/>
          <w:szCs w:val="20"/>
        </w:rPr>
        <w:t>Napkins</w:t>
      </w:r>
      <w:r w:rsidR="005F4A9E">
        <w:rPr>
          <w:rFonts w:ascii="Arial" w:eastAsiaTheme="minorHAnsi" w:hAnsi="Arial" w:cs="Arial"/>
          <w:sz w:val="20"/>
          <w:szCs w:val="20"/>
        </w:rPr>
        <w:t>,</w:t>
      </w:r>
    </w:p>
    <w:p w14:paraId="129C9A6E" w14:textId="59DA5A86"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sz w:val="20"/>
          <w:szCs w:val="20"/>
        </w:rPr>
      </w:pPr>
      <w:r w:rsidRPr="005F4A9E">
        <w:rPr>
          <w:rFonts w:ascii="Arial" w:eastAsiaTheme="minorHAnsi" w:hAnsi="Arial" w:cs="Arial"/>
          <w:sz w:val="20"/>
          <w:szCs w:val="20"/>
        </w:rPr>
        <w:t>Towels, Cloth</w:t>
      </w:r>
      <w:r w:rsidR="005F4A9E">
        <w:rPr>
          <w:rFonts w:ascii="Arial" w:eastAsiaTheme="minorHAnsi" w:hAnsi="Arial" w:cs="Arial"/>
          <w:sz w:val="20"/>
          <w:szCs w:val="20"/>
        </w:rPr>
        <w:t>,</w:t>
      </w:r>
    </w:p>
    <w:p w14:paraId="1CDD31EC" w14:textId="28CF9C06"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sz w:val="20"/>
          <w:szCs w:val="20"/>
        </w:rPr>
      </w:pPr>
      <w:r w:rsidRPr="005F4A9E">
        <w:rPr>
          <w:rFonts w:ascii="Arial" w:eastAsiaTheme="minorHAnsi" w:hAnsi="Arial" w:cs="Arial"/>
          <w:sz w:val="20"/>
          <w:szCs w:val="20"/>
        </w:rPr>
        <w:t>Janitorial and cleaning supplies purchased and maintained in compliance with TDOC policy</w:t>
      </w:r>
      <w:r w:rsidR="005F4A9E">
        <w:rPr>
          <w:rFonts w:ascii="Arial" w:eastAsiaTheme="minorHAnsi" w:hAnsi="Arial" w:cs="Arial"/>
          <w:sz w:val="20"/>
          <w:szCs w:val="20"/>
        </w:rPr>
        <w:t>,</w:t>
      </w:r>
    </w:p>
    <w:p w14:paraId="6CD0FAE8" w14:textId="3FA167C0"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sz w:val="20"/>
          <w:szCs w:val="20"/>
        </w:rPr>
      </w:pPr>
      <w:r w:rsidRPr="005F4A9E">
        <w:rPr>
          <w:rFonts w:ascii="Arial" w:eastAsiaTheme="minorHAnsi" w:hAnsi="Arial" w:cs="Arial"/>
          <w:sz w:val="20"/>
          <w:szCs w:val="20"/>
        </w:rPr>
        <w:t>All Aprons</w:t>
      </w:r>
      <w:r w:rsidR="005F4A9E">
        <w:rPr>
          <w:rFonts w:ascii="Arial" w:eastAsiaTheme="minorHAnsi" w:hAnsi="Arial" w:cs="Arial"/>
          <w:sz w:val="20"/>
          <w:szCs w:val="20"/>
        </w:rPr>
        <w:t>,</w:t>
      </w:r>
    </w:p>
    <w:p w14:paraId="28367DC2" w14:textId="2E15F4DC"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sz w:val="20"/>
          <w:szCs w:val="20"/>
        </w:rPr>
      </w:pPr>
      <w:r w:rsidRPr="005F4A9E">
        <w:rPr>
          <w:rFonts w:ascii="Arial" w:eastAsiaTheme="minorHAnsi" w:hAnsi="Arial" w:cs="Arial"/>
          <w:sz w:val="20"/>
          <w:szCs w:val="20"/>
        </w:rPr>
        <w:t>Rubber boots</w:t>
      </w:r>
      <w:r w:rsidR="005F4A9E">
        <w:rPr>
          <w:rFonts w:ascii="Arial" w:eastAsiaTheme="minorHAnsi" w:hAnsi="Arial" w:cs="Arial"/>
          <w:sz w:val="20"/>
          <w:szCs w:val="20"/>
        </w:rPr>
        <w:t>,</w:t>
      </w:r>
    </w:p>
    <w:p w14:paraId="4D834F78" w14:textId="1B5F7A09"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b/>
          <w:bCs/>
          <w:sz w:val="20"/>
          <w:szCs w:val="20"/>
        </w:rPr>
      </w:pPr>
      <w:r w:rsidRPr="005F4A9E">
        <w:rPr>
          <w:rFonts w:ascii="Arial" w:eastAsiaTheme="minorHAnsi" w:hAnsi="Arial" w:cs="Arial"/>
          <w:sz w:val="20"/>
          <w:szCs w:val="20"/>
        </w:rPr>
        <w:t>All pots and pans</w:t>
      </w:r>
      <w:r w:rsidRPr="005F4A9E">
        <w:rPr>
          <w:rFonts w:ascii="Arial" w:eastAsiaTheme="minorHAnsi" w:hAnsi="Arial" w:cs="Arial"/>
          <w:b/>
          <w:bCs/>
          <w:sz w:val="20"/>
          <w:szCs w:val="20"/>
        </w:rPr>
        <w:t>*</w:t>
      </w:r>
      <w:r w:rsidR="005F4A9E">
        <w:rPr>
          <w:rFonts w:ascii="Arial" w:eastAsiaTheme="minorHAnsi" w:hAnsi="Arial" w:cs="Arial"/>
          <w:b/>
          <w:bCs/>
          <w:sz w:val="20"/>
          <w:szCs w:val="20"/>
        </w:rPr>
        <w:t>,</w:t>
      </w:r>
    </w:p>
    <w:p w14:paraId="418CA02F" w14:textId="38D96424"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b/>
          <w:bCs/>
          <w:sz w:val="20"/>
          <w:szCs w:val="20"/>
        </w:rPr>
      </w:pPr>
      <w:r w:rsidRPr="005F4A9E">
        <w:rPr>
          <w:rFonts w:ascii="Arial" w:eastAsiaTheme="minorHAnsi" w:hAnsi="Arial" w:cs="Arial"/>
          <w:sz w:val="20"/>
          <w:szCs w:val="20"/>
        </w:rPr>
        <w:t>Mop buckets</w:t>
      </w:r>
      <w:r w:rsidRPr="005F4A9E">
        <w:rPr>
          <w:rFonts w:ascii="Arial" w:eastAsiaTheme="minorHAnsi" w:hAnsi="Arial" w:cs="Arial"/>
          <w:b/>
          <w:bCs/>
          <w:sz w:val="20"/>
          <w:szCs w:val="20"/>
        </w:rPr>
        <w:t>*</w:t>
      </w:r>
      <w:r w:rsidR="005F4A9E">
        <w:rPr>
          <w:rFonts w:ascii="Arial" w:eastAsiaTheme="minorHAnsi" w:hAnsi="Arial" w:cs="Arial"/>
          <w:b/>
          <w:bCs/>
          <w:sz w:val="20"/>
          <w:szCs w:val="20"/>
        </w:rPr>
        <w:t>,</w:t>
      </w:r>
    </w:p>
    <w:p w14:paraId="4AEA1300" w14:textId="06E38DC0"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b/>
          <w:bCs/>
          <w:sz w:val="20"/>
          <w:szCs w:val="20"/>
        </w:rPr>
      </w:pPr>
      <w:r w:rsidRPr="005F4A9E">
        <w:rPr>
          <w:rFonts w:ascii="Arial" w:eastAsiaTheme="minorHAnsi" w:hAnsi="Arial" w:cs="Arial"/>
          <w:sz w:val="20"/>
          <w:szCs w:val="20"/>
        </w:rPr>
        <w:t>Meal Service utensils</w:t>
      </w:r>
      <w:r w:rsidRPr="005F4A9E">
        <w:rPr>
          <w:rFonts w:ascii="Arial" w:eastAsiaTheme="minorHAnsi" w:hAnsi="Arial" w:cs="Arial"/>
          <w:b/>
          <w:bCs/>
          <w:sz w:val="20"/>
          <w:szCs w:val="20"/>
        </w:rPr>
        <w:t>*</w:t>
      </w:r>
      <w:r w:rsidR="005F4A9E">
        <w:rPr>
          <w:rFonts w:ascii="Arial" w:eastAsiaTheme="minorHAnsi" w:hAnsi="Arial" w:cs="Arial"/>
          <w:b/>
          <w:bCs/>
          <w:sz w:val="20"/>
          <w:szCs w:val="20"/>
        </w:rPr>
        <w:t>,</w:t>
      </w:r>
    </w:p>
    <w:p w14:paraId="10E7BE5F" w14:textId="62C1BBF7"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b/>
          <w:bCs/>
          <w:sz w:val="20"/>
          <w:szCs w:val="20"/>
        </w:rPr>
      </w:pPr>
      <w:r w:rsidRPr="005F4A9E">
        <w:rPr>
          <w:rFonts w:ascii="Arial" w:eastAsiaTheme="minorHAnsi" w:hAnsi="Arial" w:cs="Arial"/>
          <w:sz w:val="20"/>
          <w:szCs w:val="20"/>
        </w:rPr>
        <w:t>Trays</w:t>
      </w:r>
      <w:r w:rsidRPr="005F4A9E">
        <w:rPr>
          <w:rFonts w:ascii="Arial" w:eastAsiaTheme="minorHAnsi" w:hAnsi="Arial" w:cs="Arial"/>
          <w:b/>
          <w:bCs/>
          <w:sz w:val="20"/>
          <w:szCs w:val="20"/>
        </w:rPr>
        <w:t>*</w:t>
      </w:r>
      <w:r w:rsidR="005F4A9E">
        <w:rPr>
          <w:rFonts w:ascii="Arial" w:eastAsiaTheme="minorHAnsi" w:hAnsi="Arial" w:cs="Arial"/>
          <w:b/>
          <w:bCs/>
          <w:sz w:val="20"/>
          <w:szCs w:val="20"/>
        </w:rPr>
        <w:t>,</w:t>
      </w:r>
    </w:p>
    <w:p w14:paraId="257EEE0C" w14:textId="52D023F5"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b/>
          <w:bCs/>
          <w:sz w:val="20"/>
          <w:szCs w:val="20"/>
        </w:rPr>
      </w:pPr>
      <w:r w:rsidRPr="005F4A9E">
        <w:rPr>
          <w:rFonts w:ascii="Arial" w:eastAsiaTheme="minorHAnsi" w:hAnsi="Arial" w:cs="Arial"/>
          <w:sz w:val="20"/>
          <w:szCs w:val="20"/>
        </w:rPr>
        <w:t>Tumblers</w:t>
      </w:r>
      <w:r w:rsidRPr="005F4A9E">
        <w:rPr>
          <w:rFonts w:ascii="Arial" w:eastAsiaTheme="minorHAnsi" w:hAnsi="Arial" w:cs="Arial"/>
          <w:b/>
          <w:bCs/>
          <w:sz w:val="20"/>
          <w:szCs w:val="20"/>
        </w:rPr>
        <w:t>*</w:t>
      </w:r>
      <w:r w:rsidR="005F4A9E">
        <w:rPr>
          <w:rFonts w:ascii="Arial" w:eastAsiaTheme="minorHAnsi" w:hAnsi="Arial" w:cs="Arial"/>
          <w:b/>
          <w:bCs/>
          <w:sz w:val="20"/>
          <w:szCs w:val="20"/>
        </w:rPr>
        <w:t xml:space="preserve">, </w:t>
      </w:r>
      <w:r w:rsidR="005F4A9E">
        <w:rPr>
          <w:rFonts w:ascii="Arial" w:eastAsiaTheme="minorHAnsi" w:hAnsi="Arial" w:cs="Arial"/>
          <w:sz w:val="20"/>
          <w:szCs w:val="20"/>
        </w:rPr>
        <w:t>and</w:t>
      </w:r>
    </w:p>
    <w:p w14:paraId="117F0A4B" w14:textId="7B861432" w:rsidR="0053113C" w:rsidRPr="005F4A9E" w:rsidRDefault="0053113C" w:rsidP="0053113C">
      <w:pPr>
        <w:pStyle w:val="ListParagraph"/>
        <w:numPr>
          <w:ilvl w:val="0"/>
          <w:numId w:val="1"/>
        </w:numPr>
        <w:autoSpaceDE w:val="0"/>
        <w:autoSpaceDN w:val="0"/>
        <w:adjustRightInd w:val="0"/>
        <w:ind w:left="1080"/>
        <w:jc w:val="both"/>
        <w:rPr>
          <w:rFonts w:ascii="Arial" w:eastAsiaTheme="minorHAnsi" w:hAnsi="Arial" w:cs="Arial"/>
          <w:b/>
          <w:bCs/>
          <w:sz w:val="20"/>
          <w:szCs w:val="20"/>
        </w:rPr>
      </w:pPr>
      <w:r w:rsidRPr="005F4A9E">
        <w:rPr>
          <w:rFonts w:ascii="Arial" w:eastAsiaTheme="minorHAnsi" w:hAnsi="Arial" w:cs="Arial"/>
          <w:sz w:val="20"/>
          <w:szCs w:val="20"/>
        </w:rPr>
        <w:t>Sporks (permanent wear)</w:t>
      </w:r>
      <w:r w:rsidRPr="005F4A9E">
        <w:rPr>
          <w:rFonts w:ascii="Arial" w:eastAsiaTheme="minorHAnsi" w:hAnsi="Arial" w:cs="Arial"/>
          <w:b/>
          <w:bCs/>
          <w:sz w:val="20"/>
          <w:szCs w:val="20"/>
        </w:rPr>
        <w:t xml:space="preserve"> *</w:t>
      </w:r>
      <w:r w:rsidR="005F4A9E">
        <w:rPr>
          <w:rFonts w:ascii="Arial" w:eastAsiaTheme="minorHAnsi" w:hAnsi="Arial" w:cs="Arial"/>
          <w:b/>
          <w:bCs/>
          <w:sz w:val="20"/>
          <w:szCs w:val="20"/>
        </w:rPr>
        <w:t>.</w:t>
      </w:r>
    </w:p>
    <w:p w14:paraId="51BAA11B" w14:textId="77777777" w:rsidR="0053113C" w:rsidRPr="005F4A9E" w:rsidRDefault="0053113C" w:rsidP="0053113C">
      <w:pPr>
        <w:pStyle w:val="ListParagraph"/>
        <w:autoSpaceDE w:val="0"/>
        <w:autoSpaceDN w:val="0"/>
        <w:adjustRightInd w:val="0"/>
        <w:ind w:left="780"/>
        <w:jc w:val="both"/>
        <w:rPr>
          <w:rFonts w:ascii="Arial" w:eastAsiaTheme="minorHAnsi" w:hAnsi="Arial" w:cs="Arial"/>
          <w:b/>
          <w:bCs/>
          <w:sz w:val="20"/>
          <w:szCs w:val="20"/>
        </w:rPr>
      </w:pPr>
    </w:p>
    <w:p w14:paraId="7FC37C0B" w14:textId="77777777" w:rsidR="0053113C" w:rsidRPr="005F4A9E" w:rsidRDefault="0053113C" w:rsidP="0053113C">
      <w:pPr>
        <w:pStyle w:val="ListParagraph"/>
        <w:autoSpaceDE w:val="0"/>
        <w:autoSpaceDN w:val="0"/>
        <w:adjustRightInd w:val="0"/>
        <w:ind w:left="780"/>
        <w:jc w:val="both"/>
        <w:rPr>
          <w:rFonts w:ascii="Arial" w:eastAsiaTheme="minorHAnsi" w:hAnsi="Arial" w:cs="Arial"/>
          <w:sz w:val="20"/>
          <w:szCs w:val="20"/>
        </w:rPr>
      </w:pPr>
      <w:r w:rsidRPr="005F4A9E">
        <w:rPr>
          <w:rFonts w:ascii="Arial" w:eastAsiaTheme="minorHAnsi" w:hAnsi="Arial" w:cs="Arial"/>
          <w:b/>
          <w:bCs/>
          <w:sz w:val="20"/>
          <w:szCs w:val="20"/>
        </w:rPr>
        <w:t>Note:</w:t>
      </w:r>
      <w:r w:rsidRPr="005F4A9E">
        <w:rPr>
          <w:rFonts w:ascii="Arial" w:eastAsiaTheme="minorHAnsi" w:hAnsi="Arial" w:cs="Arial"/>
          <w:sz w:val="20"/>
          <w:szCs w:val="20"/>
        </w:rPr>
        <w:t xml:space="preserve"> All pots, pans, trays, tumblers, service utensils, mops and brooms, and mop buckets to be purchased by the Contractor shall be approved by the Director of Contract Monitoring and Risk Mitigation or designee after a sample product is provided by the Contractor.</w:t>
      </w:r>
    </w:p>
    <w:p w14:paraId="11223371" w14:textId="3141412B" w:rsidR="00400515" w:rsidRPr="00400515" w:rsidRDefault="00400515" w:rsidP="0053113C">
      <w:pPr>
        <w:spacing w:after="0"/>
        <w:ind w:left="720"/>
        <w:rPr>
          <w:rFonts w:ascii="Arial" w:hAnsi="Arial" w:cs="Arial"/>
          <w:b/>
          <w:bCs/>
          <w:sz w:val="20"/>
          <w:szCs w:val="20"/>
        </w:rPr>
      </w:pPr>
    </w:p>
    <w:sectPr w:rsidR="00400515" w:rsidRPr="00400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96DE6"/>
    <w:multiLevelType w:val="hybridMultilevel"/>
    <w:tmpl w:val="ADB8E1D0"/>
    <w:lvl w:ilvl="0" w:tplc="879E30DE">
      <w:start w:val="1"/>
      <w:numFmt w:val="decimal"/>
      <w:lvlText w:val="%1."/>
      <w:lvlJc w:val="left"/>
      <w:pPr>
        <w:ind w:left="780" w:hanging="360"/>
      </w:pPr>
      <w:rPr>
        <w:rFonts w:hint="default"/>
        <w:b w:val="0"/>
        <w:bCs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79653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15"/>
    <w:rsid w:val="0017116A"/>
    <w:rsid w:val="00400515"/>
    <w:rsid w:val="0053113C"/>
    <w:rsid w:val="005F4A9E"/>
    <w:rsid w:val="00964412"/>
    <w:rsid w:val="00C9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56A0"/>
  <w15:chartTrackingRefBased/>
  <w15:docId w15:val="{C8D84E32-AF47-43E5-8662-CE2F27BB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00515"/>
    <w:pPr>
      <w:spacing w:after="0" w:line="240" w:lineRule="auto"/>
    </w:pPr>
    <w:rPr>
      <w:rFonts w:ascii="Century Schoolbook" w:eastAsia="Times New Roman" w:hAnsi="Century Schoolbook" w:cs="Times New Roman"/>
      <w:sz w:val="20"/>
      <w:szCs w:val="20"/>
      <w:lang w:val="x-none" w:eastAsia="x-none"/>
    </w:rPr>
  </w:style>
  <w:style w:type="character" w:customStyle="1" w:styleId="CommentTextChar">
    <w:name w:val="Comment Text Char"/>
    <w:basedOn w:val="DefaultParagraphFont"/>
    <w:link w:val="CommentText"/>
    <w:uiPriority w:val="99"/>
    <w:rsid w:val="00400515"/>
    <w:rPr>
      <w:rFonts w:ascii="Century Schoolbook" w:eastAsia="Times New Roman" w:hAnsi="Century Schoolbook" w:cs="Times New Roman"/>
      <w:sz w:val="20"/>
      <w:szCs w:val="20"/>
      <w:lang w:val="x-none" w:eastAsia="x-none"/>
    </w:rPr>
  </w:style>
  <w:style w:type="paragraph" w:styleId="BodyText">
    <w:name w:val="Body Text"/>
    <w:basedOn w:val="Normal"/>
    <w:link w:val="BodyTextChar"/>
    <w:uiPriority w:val="1"/>
    <w:unhideWhenUsed/>
    <w:qFormat/>
    <w:rsid w:val="00400515"/>
    <w:pPr>
      <w:spacing w:after="120" w:line="240" w:lineRule="auto"/>
      <w:ind w:left="720"/>
    </w:pPr>
    <w:rPr>
      <w:rFonts w:ascii="Arial" w:eastAsia="Times New Roman" w:hAnsi="Arial" w:cs="Times New Roman"/>
      <w:lang w:val="x-none" w:eastAsia="x-none"/>
    </w:rPr>
  </w:style>
  <w:style w:type="character" w:customStyle="1" w:styleId="BodyTextChar">
    <w:name w:val="Body Text Char"/>
    <w:basedOn w:val="DefaultParagraphFont"/>
    <w:link w:val="BodyText"/>
    <w:uiPriority w:val="1"/>
    <w:rsid w:val="00400515"/>
    <w:rPr>
      <w:rFonts w:ascii="Arial" w:eastAsia="Times New Roman" w:hAnsi="Arial" w:cs="Times New Roman"/>
      <w:lang w:val="x-none" w:eastAsia="x-none"/>
    </w:rPr>
  </w:style>
  <w:style w:type="character" w:styleId="CommentReference">
    <w:name w:val="annotation reference"/>
    <w:uiPriority w:val="99"/>
    <w:unhideWhenUsed/>
    <w:rsid w:val="00400515"/>
    <w:rPr>
      <w:sz w:val="16"/>
      <w:szCs w:val="16"/>
    </w:rPr>
  </w:style>
  <w:style w:type="paragraph" w:styleId="ListParagraph">
    <w:name w:val="List Paragraph"/>
    <w:basedOn w:val="Normal"/>
    <w:link w:val="ListParagraphChar"/>
    <w:uiPriority w:val="34"/>
    <w:qFormat/>
    <w:rsid w:val="00400515"/>
    <w:pPr>
      <w:spacing w:after="0" w:line="240" w:lineRule="auto"/>
      <w:ind w:left="720"/>
      <w:contextualSpacing/>
    </w:pPr>
    <w:rPr>
      <w:rFonts w:ascii="Century Schoolbook" w:eastAsia="Times New Roman" w:hAnsi="Century Schoolbook" w:cs="Times New Roman"/>
    </w:rPr>
  </w:style>
  <w:style w:type="character" w:customStyle="1" w:styleId="ListParagraphChar">
    <w:name w:val="List Paragraph Char"/>
    <w:link w:val="ListParagraph"/>
    <w:uiPriority w:val="34"/>
    <w:locked/>
    <w:rsid w:val="00400515"/>
    <w:rPr>
      <w:rFonts w:ascii="Century Schoolbook" w:eastAsia="Times New Roman" w:hAnsi="Century School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 Weigum</dc:creator>
  <cp:keywords/>
  <dc:description/>
  <cp:lastModifiedBy>Priscilla Wainwright</cp:lastModifiedBy>
  <cp:revision>3</cp:revision>
  <dcterms:created xsi:type="dcterms:W3CDTF">2022-02-25T14:32:00Z</dcterms:created>
  <dcterms:modified xsi:type="dcterms:W3CDTF">2023-01-25T21:46:00Z</dcterms:modified>
</cp:coreProperties>
</file>