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48AC" w14:textId="4E21E6FF" w:rsidR="008A7A03" w:rsidRPr="00400515" w:rsidRDefault="00400515" w:rsidP="00400515">
      <w:pPr>
        <w:jc w:val="right"/>
        <w:rPr>
          <w:rFonts w:ascii="Arial" w:hAnsi="Arial" w:cs="Arial"/>
        </w:rPr>
      </w:pPr>
      <w:r w:rsidRPr="00400515">
        <w:rPr>
          <w:rFonts w:ascii="Arial" w:hAnsi="Arial" w:cs="Arial"/>
        </w:rPr>
        <w:t>Attachment XX</w:t>
      </w:r>
    </w:p>
    <w:p w14:paraId="05A7A85F" w14:textId="0BF2EEED" w:rsidR="00400515" w:rsidRPr="00400515" w:rsidRDefault="00400515" w:rsidP="00400515">
      <w:pPr>
        <w:jc w:val="right"/>
        <w:rPr>
          <w:rFonts w:ascii="Arial" w:hAnsi="Arial" w:cs="Arial"/>
          <w:b/>
          <w:bCs/>
        </w:rPr>
      </w:pPr>
    </w:p>
    <w:p w14:paraId="28CB7DC4" w14:textId="7CA33EFA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ind w:left="0"/>
        <w:jc w:val="center"/>
        <w:rPr>
          <w:rFonts w:cs="Arial"/>
          <w:sz w:val="20"/>
          <w:szCs w:val="20"/>
          <w:lang w:val="en-US"/>
        </w:rPr>
      </w:pPr>
      <w:r w:rsidRPr="00400515">
        <w:rPr>
          <w:rFonts w:cs="Arial"/>
          <w:b/>
          <w:bCs/>
          <w:sz w:val="20"/>
          <w:szCs w:val="20"/>
        </w:rPr>
        <w:t>General Description of Food Service Department</w:t>
      </w:r>
      <w:r w:rsidRPr="00400515">
        <w:rPr>
          <w:rFonts w:cs="Arial"/>
          <w:b/>
          <w:bCs/>
          <w:sz w:val="20"/>
          <w:szCs w:val="20"/>
          <w:lang w:val="en-US"/>
        </w:rPr>
        <w:t xml:space="preserve"> and Facilities:</w:t>
      </w:r>
    </w:p>
    <w:p w14:paraId="21A49F7F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ind w:left="0"/>
        <w:jc w:val="both"/>
        <w:rPr>
          <w:rFonts w:cs="Arial"/>
          <w:sz w:val="20"/>
          <w:szCs w:val="20"/>
        </w:rPr>
      </w:pPr>
    </w:p>
    <w:p w14:paraId="43879611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Bledsoe County Correctional Complex (“BCCX”)</w:t>
      </w:r>
      <w:r w:rsidRPr="00400515">
        <w:rPr>
          <w:rFonts w:ascii="Arial" w:hAnsi="Arial" w:cs="Arial"/>
          <w:sz w:val="20"/>
          <w:szCs w:val="20"/>
        </w:rPr>
        <w:t xml:space="preserve"> -The Facility located in Pikeville, TN with two (2) sites: Site 1: Intake; and Site 2: Time Building. </w:t>
      </w:r>
    </w:p>
    <w:p w14:paraId="4394D63A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b/>
          <w:bCs/>
          <w:sz w:val="20"/>
          <w:szCs w:val="20"/>
        </w:rPr>
      </w:pPr>
    </w:p>
    <w:p w14:paraId="3FEB56EC" w14:textId="2C7CDF47" w:rsidR="00400515" w:rsidRPr="00400515" w:rsidRDefault="00400515" w:rsidP="00400515">
      <w:pPr>
        <w:pStyle w:val="CommentText"/>
        <w:ind w:left="720"/>
        <w:jc w:val="both"/>
        <w:rPr>
          <w:rFonts w:ascii="Arial" w:hAnsi="Arial" w:cs="Arial"/>
          <w:lang w:val="en-US"/>
        </w:rPr>
      </w:pPr>
      <w:r w:rsidRPr="00400515">
        <w:rPr>
          <w:rFonts w:ascii="Arial" w:hAnsi="Arial" w:cs="Arial"/>
          <w:u w:val="single"/>
          <w:lang w:val="en-US"/>
        </w:rPr>
        <w:t>DeBerry Special Needs Facility (DSNF):</w:t>
      </w:r>
      <w:r w:rsidRPr="00400515">
        <w:rPr>
          <w:rFonts w:ascii="Arial" w:hAnsi="Arial" w:cs="Arial"/>
          <w:lang w:val="en-US"/>
        </w:rPr>
        <w:t xml:space="preserve"> - The Facility is a Health Center and provides multiple services for offenders with complex medical problems, including acute and convalescent health care, intensive mental health intervention as well as three skilled nursing units</w:t>
      </w:r>
      <w:r w:rsidRPr="00400515">
        <w:rPr>
          <w:rFonts w:ascii="Arial" w:hAnsi="Arial" w:cs="Arial"/>
          <w:lang w:val="en-US"/>
        </w:rPr>
        <w:t xml:space="preserve"> and dialysis</w:t>
      </w:r>
      <w:r w:rsidRPr="00400515">
        <w:rPr>
          <w:rFonts w:ascii="Arial" w:hAnsi="Arial" w:cs="Arial"/>
          <w:lang w:val="en-US"/>
        </w:rPr>
        <w:t>.  Food Services prepares and serves meals in a conventional dining room for general population inmates.  For the inmates housed in the health center, retherm cooking/storage systems are utilized.</w:t>
      </w:r>
      <w:r w:rsidRPr="00400515">
        <w:rPr>
          <w:rFonts w:ascii="Arial" w:hAnsi="Arial" w:cs="Arial"/>
          <w:lang w:val="en-US"/>
        </w:rPr>
        <w:t xml:space="preserve"> </w:t>
      </w:r>
      <w:proofErr w:type="gramStart"/>
      <w:r w:rsidRPr="00400515">
        <w:rPr>
          <w:rFonts w:ascii="Arial" w:hAnsi="Arial" w:cs="Arial"/>
          <w:lang w:val="en-US"/>
        </w:rPr>
        <w:t>The majority of</w:t>
      </w:r>
      <w:proofErr w:type="gramEnd"/>
      <w:r w:rsidRPr="00400515">
        <w:rPr>
          <w:rFonts w:ascii="Arial" w:hAnsi="Arial" w:cs="Arial"/>
          <w:lang w:val="en-US"/>
        </w:rPr>
        <w:t xml:space="preserve"> inmates housed at the Facility require therapeutic diets.  </w:t>
      </w:r>
    </w:p>
    <w:p w14:paraId="4EC6A6E9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3AAB2A5F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Debra K. Johnson Rehabilitation Center (“DJRC”)</w:t>
      </w:r>
      <w:r w:rsidRPr="00400515">
        <w:rPr>
          <w:rFonts w:ascii="Arial" w:hAnsi="Arial" w:cs="Arial"/>
          <w:sz w:val="20"/>
          <w:szCs w:val="20"/>
        </w:rPr>
        <w:t xml:space="preserve"> – The Facility located in Nashville, TN which is the primary prison for female Offenders and one of the diagnostic centers for females entering TDOC.</w:t>
      </w:r>
    </w:p>
    <w:p w14:paraId="53854611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3ADDE5EC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Mark H. Luttrell Transition Center (“MLTC”)</w:t>
      </w:r>
      <w:r w:rsidRPr="00400515">
        <w:rPr>
          <w:rFonts w:ascii="Arial" w:hAnsi="Arial" w:cs="Arial"/>
          <w:sz w:val="20"/>
          <w:szCs w:val="20"/>
        </w:rPr>
        <w:t xml:space="preserve"> – The Memphis, TN transition center where Inmates are provided the opportunity to develop social and employment skills and self-discipline to successfully re-enter society.</w:t>
      </w:r>
    </w:p>
    <w:p w14:paraId="6DCA7037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0A3FD3E3" w14:textId="77777777" w:rsidR="00400515" w:rsidRPr="00400515" w:rsidRDefault="00400515" w:rsidP="0040051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Morgan County Correctional Complex (“MCCX”)</w:t>
      </w:r>
      <w:r w:rsidRPr="00400515">
        <w:rPr>
          <w:rFonts w:ascii="Arial" w:hAnsi="Arial" w:cs="Arial"/>
          <w:sz w:val="20"/>
          <w:szCs w:val="20"/>
        </w:rPr>
        <w:t xml:space="preserve"> - The Wartburg, TN Facility that houses medium and maximum-security Inmates.</w:t>
      </w:r>
    </w:p>
    <w:p w14:paraId="7750D2F5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</w:p>
    <w:p w14:paraId="02651328" w14:textId="73DCC3CF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Northeast Correctional Complex (“NECX”)</w:t>
      </w:r>
      <w:r w:rsidRPr="00400515">
        <w:rPr>
          <w:rFonts w:ascii="Arial" w:hAnsi="Arial" w:cs="Arial"/>
          <w:sz w:val="20"/>
          <w:szCs w:val="20"/>
        </w:rPr>
        <w:t xml:space="preserve"> – The Facility with a close custody designation with two (2) locations: Main (Johnson County);</w:t>
      </w:r>
      <w:r w:rsidRPr="00400515" w:rsidDel="008E3F1C">
        <w:rPr>
          <w:rFonts w:ascii="Arial" w:hAnsi="Arial" w:cs="Arial"/>
          <w:sz w:val="20"/>
          <w:szCs w:val="20"/>
        </w:rPr>
        <w:t xml:space="preserve"> </w:t>
      </w:r>
      <w:r w:rsidRPr="00400515">
        <w:rPr>
          <w:rFonts w:ascii="Arial" w:hAnsi="Arial" w:cs="Arial"/>
          <w:sz w:val="20"/>
          <w:szCs w:val="20"/>
        </w:rPr>
        <w:t>Annex (Carter County).</w:t>
      </w:r>
    </w:p>
    <w:p w14:paraId="7A9CA358" w14:textId="77777777" w:rsidR="00400515" w:rsidRPr="00400515" w:rsidRDefault="00400515" w:rsidP="00400515">
      <w:pPr>
        <w:pStyle w:val="ListParagraph"/>
        <w:rPr>
          <w:rFonts w:ascii="Arial" w:hAnsi="Arial" w:cs="Arial"/>
          <w:sz w:val="20"/>
          <w:szCs w:val="20"/>
        </w:rPr>
      </w:pPr>
    </w:p>
    <w:p w14:paraId="6633618D" w14:textId="77777777" w:rsidR="00400515" w:rsidRPr="00400515" w:rsidRDefault="00400515" w:rsidP="0040051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Northwest Correctional Complex (“NWCX”)</w:t>
      </w:r>
      <w:r w:rsidRPr="00400515">
        <w:rPr>
          <w:rFonts w:ascii="Arial" w:hAnsi="Arial" w:cs="Arial"/>
          <w:sz w:val="20"/>
          <w:szCs w:val="20"/>
        </w:rPr>
        <w:t xml:space="preserve"> - The Tiptonville, TN Facility which is the primary educational prison for TDOC.</w:t>
      </w:r>
    </w:p>
    <w:p w14:paraId="5C32556F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</w:p>
    <w:p w14:paraId="12045CCB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Riverbend Maximum Security Institution (“RMSI”)</w:t>
      </w:r>
      <w:r w:rsidRPr="00400515">
        <w:rPr>
          <w:rFonts w:ascii="Arial" w:hAnsi="Arial" w:cs="Arial"/>
          <w:sz w:val="20"/>
          <w:szCs w:val="20"/>
        </w:rPr>
        <w:t xml:space="preserve"> - The Nashville TN Facility which houses high-risk male Inmates and </w:t>
      </w:r>
      <w:proofErr w:type="gramStart"/>
      <w:r w:rsidRPr="00400515">
        <w:rPr>
          <w:rFonts w:ascii="Arial" w:hAnsi="Arial" w:cs="Arial"/>
          <w:sz w:val="20"/>
          <w:szCs w:val="20"/>
        </w:rPr>
        <w:t>all of</w:t>
      </w:r>
      <w:proofErr w:type="gramEnd"/>
      <w:r w:rsidRPr="00400515">
        <w:rPr>
          <w:rFonts w:ascii="Arial" w:hAnsi="Arial" w:cs="Arial"/>
          <w:sz w:val="20"/>
          <w:szCs w:val="20"/>
        </w:rPr>
        <w:t xml:space="preserve"> the State’s male death row Inmates.</w:t>
      </w:r>
    </w:p>
    <w:p w14:paraId="4C688693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60FFA365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Turney Center Industrial Complex (“TCIX”)</w:t>
      </w:r>
      <w:r w:rsidRPr="00400515">
        <w:rPr>
          <w:rFonts w:ascii="Arial" w:hAnsi="Arial" w:cs="Arial"/>
          <w:sz w:val="20"/>
          <w:szCs w:val="20"/>
        </w:rPr>
        <w:t xml:space="preserve"> - The time-building close security Facility with two (2) locations: Main - Only and Annex - Clifton, TN.</w:t>
      </w:r>
    </w:p>
    <w:p w14:paraId="4A2C4C68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207C0F25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West Tennessee State Penitentiary (“WTSP”)</w:t>
      </w:r>
      <w:r w:rsidRPr="00400515">
        <w:rPr>
          <w:rFonts w:ascii="Arial" w:hAnsi="Arial" w:cs="Arial"/>
          <w:sz w:val="20"/>
          <w:szCs w:val="20"/>
        </w:rPr>
        <w:t xml:space="preserve"> - The Henning, TN time-building Facility which houses maximum, medium, and minimum adult male Inmates.</w:t>
      </w:r>
    </w:p>
    <w:p w14:paraId="525DBE5B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715C8092" w14:textId="77777777" w:rsidR="00400515" w:rsidRPr="00400515" w:rsidRDefault="00400515" w:rsidP="004005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00515">
        <w:rPr>
          <w:rFonts w:ascii="Arial" w:hAnsi="Arial" w:cs="Arial"/>
          <w:sz w:val="20"/>
          <w:szCs w:val="20"/>
          <w:u w:val="single"/>
        </w:rPr>
        <w:t>Women’s Therapeutic Residential Center (“WTRC”)</w:t>
      </w:r>
      <w:r w:rsidRPr="00400515">
        <w:rPr>
          <w:rFonts w:ascii="Arial" w:hAnsi="Arial" w:cs="Arial"/>
          <w:sz w:val="20"/>
          <w:szCs w:val="20"/>
        </w:rPr>
        <w:t xml:space="preserve"> - The Henning, TN time-building Facility which houses a modified therapeutic community behavioral model program for female Inmates.</w:t>
      </w:r>
    </w:p>
    <w:p w14:paraId="04BD673D" w14:textId="77777777" w:rsidR="00400515" w:rsidRPr="00400515" w:rsidRDefault="00400515" w:rsidP="00400515">
      <w:pPr>
        <w:pStyle w:val="BodyText"/>
        <w:widowControl w:val="0"/>
        <w:tabs>
          <w:tab w:val="left" w:pos="841"/>
        </w:tabs>
        <w:spacing w:after="0"/>
        <w:jc w:val="both"/>
        <w:rPr>
          <w:rFonts w:cs="Arial"/>
          <w:sz w:val="20"/>
          <w:szCs w:val="20"/>
          <w:lang w:val="en-US"/>
        </w:rPr>
      </w:pPr>
    </w:p>
    <w:p w14:paraId="11223371" w14:textId="034545B5" w:rsidR="00400515" w:rsidRPr="00400515" w:rsidRDefault="00400515" w:rsidP="00400515">
      <w:pPr>
        <w:pStyle w:val="CommentText"/>
        <w:ind w:left="720"/>
        <w:jc w:val="both"/>
        <w:rPr>
          <w:rFonts w:ascii="Arial" w:hAnsi="Arial" w:cs="Arial"/>
          <w:b/>
          <w:bCs/>
        </w:rPr>
      </w:pPr>
      <w:r w:rsidRPr="00400515">
        <w:rPr>
          <w:rFonts w:ascii="Arial" w:hAnsi="Arial" w:cs="Arial"/>
          <w:u w:val="single"/>
          <w:lang w:val="en-US"/>
        </w:rPr>
        <w:t>Tennessee Correction Academy (TCA)</w:t>
      </w:r>
      <w:r w:rsidRPr="00400515">
        <w:rPr>
          <w:rFonts w:ascii="Arial" w:hAnsi="Arial" w:cs="Arial"/>
          <w:lang w:val="en-US"/>
        </w:rPr>
        <w:t xml:space="preserve"> – The Department’s primary training and staff development center, which includes numerous pre-service, in-service, and specialized training to Department staff. The Contractor will provide staffing for the food service operation and no inmate labor will be provided in the kitchen by the Department.  </w:t>
      </w:r>
    </w:p>
    <w:sectPr w:rsidR="00400515" w:rsidRPr="0040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15"/>
    <w:rsid w:val="0017116A"/>
    <w:rsid w:val="00400515"/>
    <w:rsid w:val="009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56A0"/>
  <w15:chartTrackingRefBased/>
  <w15:docId w15:val="{C8D84E32-AF47-43E5-8662-CE2F27B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0051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515"/>
    <w:rPr>
      <w:rFonts w:ascii="Century Schoolbook" w:eastAsia="Times New Roman" w:hAnsi="Century Schoolbook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400515"/>
    <w:pPr>
      <w:spacing w:after="120" w:line="240" w:lineRule="auto"/>
      <w:ind w:left="720"/>
    </w:pPr>
    <w:rPr>
      <w:rFonts w:ascii="Arial" w:eastAsia="Times New Roman" w:hAnsi="Arial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00515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unhideWhenUsed/>
    <w:rsid w:val="00400515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00515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</w:rPr>
  </w:style>
  <w:style w:type="character" w:customStyle="1" w:styleId="ListParagraphChar">
    <w:name w:val="List Paragraph Char"/>
    <w:link w:val="ListParagraph"/>
    <w:uiPriority w:val="34"/>
    <w:locked/>
    <w:rsid w:val="00400515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P. Weigum</dc:creator>
  <cp:keywords/>
  <dc:description/>
  <cp:lastModifiedBy>Sarah P. Weigum</cp:lastModifiedBy>
  <cp:revision>1</cp:revision>
  <dcterms:created xsi:type="dcterms:W3CDTF">2022-02-25T14:21:00Z</dcterms:created>
  <dcterms:modified xsi:type="dcterms:W3CDTF">2022-02-25T14:29:00Z</dcterms:modified>
</cp:coreProperties>
</file>